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A8" w:rsidRDefault="001132D3" w:rsidP="008907C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907CC">
        <w:rPr>
          <w:rFonts w:ascii="Arial" w:hAnsi="Arial" w:cs="Arial"/>
        </w:rPr>
        <w:t>.08.2015</w:t>
      </w:r>
    </w:p>
    <w:p w:rsidR="00095BED" w:rsidRDefault="00095BED" w:rsidP="008907CC">
      <w:pPr>
        <w:spacing w:line="360" w:lineRule="auto"/>
        <w:rPr>
          <w:rFonts w:ascii="Arial" w:hAnsi="Arial" w:cs="Arial"/>
          <w:b/>
        </w:rPr>
      </w:pPr>
    </w:p>
    <w:p w:rsidR="008907CC" w:rsidRPr="008907CC" w:rsidRDefault="008907CC" w:rsidP="008907CC">
      <w:pPr>
        <w:spacing w:line="360" w:lineRule="auto"/>
        <w:rPr>
          <w:rFonts w:ascii="Arial" w:hAnsi="Arial" w:cs="Arial"/>
          <w:b/>
        </w:rPr>
      </w:pPr>
      <w:r w:rsidRPr="008907CC">
        <w:rPr>
          <w:rFonts w:ascii="Arial" w:hAnsi="Arial" w:cs="Arial"/>
          <w:b/>
        </w:rPr>
        <w:t>Zwischenruf</w:t>
      </w:r>
    </w:p>
    <w:p w:rsidR="008907CC" w:rsidRDefault="008907CC" w:rsidP="008907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Frühjahrstagung von TT </w:t>
      </w:r>
      <w:proofErr w:type="spellStart"/>
      <w:r>
        <w:rPr>
          <w:rFonts w:ascii="Arial" w:hAnsi="Arial" w:cs="Arial"/>
        </w:rPr>
        <w:t>net</w:t>
      </w:r>
      <w:proofErr w:type="spellEnd"/>
      <w:r>
        <w:rPr>
          <w:rFonts w:ascii="Arial" w:hAnsi="Arial" w:cs="Arial"/>
        </w:rPr>
        <w:t xml:space="preserve"> DE formulierte erneut wichtige Impulse zur Weiterentwicklung des Inhaltskonzepts, der Zusammenarbeit sowie vor allem zum Networking zwischen den Tagungen.</w:t>
      </w:r>
    </w:p>
    <w:p w:rsidR="008907CC" w:rsidRDefault="008907CC" w:rsidP="008907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Zwischenruf</w:t>
      </w:r>
      <w:r w:rsidR="001132D3">
        <w:rPr>
          <w:rFonts w:ascii="Arial" w:hAnsi="Arial" w:cs="Arial"/>
        </w:rPr>
        <w:t xml:space="preserve"> bringt die</w:t>
      </w:r>
      <w:r w:rsidR="00F3354E">
        <w:rPr>
          <w:rFonts w:ascii="Arial" w:hAnsi="Arial" w:cs="Arial"/>
        </w:rPr>
        <w:t xml:space="preserve"> Freude zum Ausdruck, dass die Dynamik auf den Tagungen nun durch eine gewisse Kontinuität in einer aufzubauenden bzw. zu unterstützenden Netzwerkarbeit begleitet wird.</w:t>
      </w:r>
    </w:p>
    <w:p w:rsidR="00F3354E" w:rsidRDefault="00F3354E" w:rsidP="008907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 entspricht den verabschiedeten 7 Thesen zum Netzwerk zur Stärkung und Professionalisierun</w:t>
      </w:r>
      <w:r w:rsidR="007E127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des Berufsbildungspersonals. (Verweis auf </w:t>
      </w:r>
      <w:hyperlink r:id="rId5" w:history="1">
        <w:r w:rsidR="007E127E" w:rsidRPr="004F1C17">
          <w:rPr>
            <w:rStyle w:val="Hyperlink"/>
            <w:rFonts w:ascii="Arial" w:hAnsi="Arial" w:cs="Arial"/>
          </w:rPr>
          <w:t>http://www.bibb.de/de/2083.php</w:t>
        </w:r>
      </w:hyperlink>
      <w:r w:rsidR="007E127E">
        <w:rPr>
          <w:rFonts w:ascii="Arial" w:hAnsi="Arial" w:cs="Arial"/>
        </w:rPr>
        <w:t>).</w:t>
      </w:r>
    </w:p>
    <w:p w:rsidR="007E127E" w:rsidRDefault="007E127E" w:rsidP="008907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den Autor war die These 7 „Das Netzwerk ist ein Gesprächsforum für die relevanten Gruppen der beruflichen Bildung“ Anlass, den Versuch für mögliche Netzwerkaktivitäten zu starten. Mit dem Referenten Martin French von der Universität </w:t>
      </w:r>
      <w:r w:rsidR="00E21AED" w:rsidRPr="00E21AED">
        <w:rPr>
          <w:rFonts w:ascii="Arial" w:hAnsi="Arial" w:cs="Arial"/>
        </w:rPr>
        <w:t>Rostock</w:t>
      </w:r>
      <w:r w:rsidRPr="00E21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gab es bereits auf der Frühjahrstagung (siehe Kurzfassung der Frühjahrstagung) eine intensive Diskussion zu den vorgestellten innovativen Ansätzen zur Qualifizierung und Professionalisierung des Lehr- und Bildungspersonals im Baltischen See</w:t>
      </w:r>
      <w:r w:rsidR="001132D3">
        <w:rPr>
          <w:rFonts w:ascii="Arial" w:hAnsi="Arial" w:cs="Arial"/>
        </w:rPr>
        <w:t>-</w:t>
      </w:r>
      <w:r w:rsidR="00355426">
        <w:rPr>
          <w:rFonts w:ascii="Arial" w:hAnsi="Arial" w:cs="Arial"/>
        </w:rPr>
        <w:t>R</w:t>
      </w:r>
      <w:r>
        <w:rPr>
          <w:rFonts w:ascii="Arial" w:hAnsi="Arial" w:cs="Arial"/>
        </w:rPr>
        <w:t>aum</w:t>
      </w:r>
      <w:r w:rsidR="00E21AED">
        <w:rPr>
          <w:rFonts w:ascii="Arial" w:hAnsi="Arial" w:cs="Arial"/>
        </w:rPr>
        <w:t>.</w:t>
      </w:r>
    </w:p>
    <w:p w:rsidR="00E21AED" w:rsidRDefault="00E21AED" w:rsidP="008907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begonnene Dialog setzte sich nach 3 Wochen fort.</w:t>
      </w:r>
      <w:r w:rsidR="001132D3">
        <w:rPr>
          <w:rFonts w:ascii="Arial" w:hAnsi="Arial" w:cs="Arial"/>
        </w:rPr>
        <w:t xml:space="preserve"> Weitere Partner sind im Fokus.</w:t>
      </w:r>
      <w:r>
        <w:rPr>
          <w:rFonts w:ascii="Arial" w:hAnsi="Arial" w:cs="Arial"/>
        </w:rPr>
        <w:t xml:space="preserve"> Hier zeigte sich bereits d</w:t>
      </w:r>
      <w:r w:rsidR="00BE6BA3">
        <w:rPr>
          <w:rFonts w:ascii="Arial" w:hAnsi="Arial" w:cs="Arial"/>
        </w:rPr>
        <w:t>e</w:t>
      </w:r>
      <w:r>
        <w:rPr>
          <w:rFonts w:ascii="Arial" w:hAnsi="Arial" w:cs="Arial"/>
        </w:rPr>
        <w:t>r Wert eines</w:t>
      </w:r>
      <w:r w:rsidR="00BE6BA3">
        <w:rPr>
          <w:rFonts w:ascii="Arial" w:hAnsi="Arial" w:cs="Arial"/>
        </w:rPr>
        <w:t xml:space="preserve"> kontinuierlichen Informations-, Gedanken- und Erfahrungsaustausches. Von GEBIFO-Berlin sind aus langjährigen Erkenntnissen und Erfahrungen internationaler Projektarbeit </w:t>
      </w:r>
      <w:r w:rsidR="001132D3">
        <w:rPr>
          <w:rFonts w:ascii="Arial" w:hAnsi="Arial" w:cs="Arial"/>
        </w:rPr>
        <w:t xml:space="preserve">(siehe Anhang) </w:t>
      </w:r>
      <w:r w:rsidR="00BE6BA3">
        <w:rPr>
          <w:rFonts w:ascii="Arial" w:hAnsi="Arial" w:cs="Arial"/>
        </w:rPr>
        <w:t>nachfolgende Beisp</w:t>
      </w:r>
      <w:r w:rsidR="001132D3">
        <w:rPr>
          <w:rFonts w:ascii="Arial" w:hAnsi="Arial" w:cs="Arial"/>
        </w:rPr>
        <w:t>iel-Aspekte thematisiert worden:</w:t>
      </w:r>
    </w:p>
    <w:p w:rsidR="00BE6BA3" w:rsidRDefault="00BE6BA3" w:rsidP="008907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Ziele</w:t>
      </w:r>
    </w:p>
    <w:p w:rsidR="00BE6BA3" w:rsidRDefault="00BE6BA3" w:rsidP="00BE6B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Beobachtung</w:t>
      </w:r>
    </w:p>
    <w:p w:rsidR="00BE6BA3" w:rsidRDefault="00BE6BA3" w:rsidP="00BE6B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Innovationen</w:t>
      </w:r>
    </w:p>
    <w:p w:rsidR="00BE6BA3" w:rsidRDefault="00BE6BA3" w:rsidP="00BE6B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Identifizierung von </w:t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Practice</w:t>
      </w:r>
    </w:p>
    <w:p w:rsidR="00BE6BA3" w:rsidRDefault="00BE6BA3" w:rsidP="00BE6BA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Schwerpunkte</w:t>
      </w:r>
    </w:p>
    <w:p w:rsidR="00BE6BA3" w:rsidRDefault="00BE6BA3" w:rsidP="00BE6B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6BA3">
        <w:rPr>
          <w:rFonts w:ascii="Arial" w:hAnsi="Arial" w:cs="Arial"/>
        </w:rPr>
        <w:t>Modelle</w:t>
      </w:r>
      <w:r>
        <w:rPr>
          <w:rFonts w:ascii="Arial" w:hAnsi="Arial" w:cs="Arial"/>
        </w:rPr>
        <w:tab/>
        <w:t>Regionalentwicklung</w:t>
      </w:r>
    </w:p>
    <w:p w:rsidR="00BE6BA3" w:rsidRDefault="00BE6BA3" w:rsidP="00BE6BA3">
      <w:pPr>
        <w:pStyle w:val="Listenabsatz"/>
        <w:spacing w:line="36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Grenzüberschreitende Qualifizierung</w:t>
      </w:r>
    </w:p>
    <w:p w:rsidR="00BE6BA3" w:rsidRDefault="00BE6BA3" w:rsidP="00BE6B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Qualifizierungspraktiken</w:t>
      </w:r>
      <w:r>
        <w:rPr>
          <w:rFonts w:ascii="Arial" w:hAnsi="Arial" w:cs="Arial"/>
        </w:rPr>
        <w:tab/>
        <w:t>IT-Branche</w:t>
      </w:r>
    </w:p>
    <w:p w:rsidR="00095BED" w:rsidRPr="00CE5257" w:rsidRDefault="00BE6BA3" w:rsidP="00CE5257">
      <w:pPr>
        <w:pStyle w:val="Listenabsatz"/>
        <w:spacing w:line="36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>Mechatronik</w:t>
      </w:r>
    </w:p>
    <w:p w:rsidR="00095BED" w:rsidRDefault="00095BED" w:rsidP="00BE6BA3">
      <w:pPr>
        <w:spacing w:line="360" w:lineRule="auto"/>
        <w:rPr>
          <w:rFonts w:ascii="Arial" w:hAnsi="Arial" w:cs="Arial"/>
          <w:u w:val="single"/>
        </w:rPr>
      </w:pPr>
    </w:p>
    <w:p w:rsidR="00BE6BA3" w:rsidRDefault="00BE6BA3" w:rsidP="00BE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Gemeinsames Verständnis</w:t>
      </w:r>
    </w:p>
    <w:p w:rsidR="00BE6BA3" w:rsidRDefault="00BE6BA3" w:rsidP="00BE6B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Analyse</w:t>
      </w:r>
    </w:p>
    <w:p w:rsidR="00BE6BA3" w:rsidRDefault="00BE6BA3" w:rsidP="00BE6B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Beobachtungen</w:t>
      </w:r>
    </w:p>
    <w:p w:rsidR="00BE6BA3" w:rsidRDefault="00BE6BA3" w:rsidP="00BE6B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Trends</w:t>
      </w:r>
    </w:p>
    <w:p w:rsidR="00BE6BA3" w:rsidRDefault="00BE6BA3" w:rsidP="00BE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Einheitliches Raster</w:t>
      </w:r>
    </w:p>
    <w:p w:rsidR="00BE6BA3" w:rsidRDefault="00BE6BA3" w:rsidP="00BE6B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Dokumentation</w:t>
      </w:r>
    </w:p>
    <w:p w:rsidR="00BE6BA3" w:rsidRDefault="00BE6BA3" w:rsidP="00BE6B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Internetplattform</w:t>
      </w:r>
    </w:p>
    <w:p w:rsidR="00BE6BA3" w:rsidRDefault="00BE6BA3" w:rsidP="00BE6BA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Transfer</w:t>
      </w:r>
    </w:p>
    <w:p w:rsidR="00BE6BA3" w:rsidRDefault="00BE6BA3" w:rsidP="00BE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Zwischenruf zeigt </w:t>
      </w:r>
      <w:r w:rsidR="00CE5257">
        <w:rPr>
          <w:rFonts w:ascii="Arial" w:hAnsi="Arial" w:cs="Arial"/>
        </w:rPr>
        <w:t>e</w:t>
      </w:r>
      <w:r>
        <w:rPr>
          <w:rFonts w:ascii="Arial" w:hAnsi="Arial" w:cs="Arial"/>
        </w:rPr>
        <w:t>xemplarisch, dass eine Diskussion und Darstellung von Auffassungen und Forschungsergebnissen zwischen den Tagungen</w:t>
      </w:r>
      <w:r w:rsidR="008F3E28">
        <w:rPr>
          <w:rFonts w:ascii="Arial" w:hAnsi="Arial" w:cs="Arial"/>
        </w:rPr>
        <w:t xml:space="preserve"> der Philosophie von TT </w:t>
      </w:r>
      <w:proofErr w:type="spellStart"/>
      <w:r w:rsidR="008F3E28">
        <w:rPr>
          <w:rFonts w:ascii="Arial" w:hAnsi="Arial" w:cs="Arial"/>
        </w:rPr>
        <w:t>net</w:t>
      </w:r>
      <w:proofErr w:type="spellEnd"/>
      <w:r w:rsidR="008F3E28">
        <w:rPr>
          <w:rFonts w:ascii="Arial" w:hAnsi="Arial" w:cs="Arial"/>
        </w:rPr>
        <w:t xml:space="preserve"> DE entsprechen könnte.</w:t>
      </w:r>
    </w:p>
    <w:p w:rsidR="008F3E28" w:rsidRDefault="008F3E28" w:rsidP="00BE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Deshalb wird es sehr begrüßt, dass auf der Herbsttagung 2015 die Thematik „Vernetzung – Netzwerke – Networking“ ein Schwerpunkt sein wird.</w:t>
      </w:r>
      <w:r w:rsidR="00CE5257">
        <w:rPr>
          <w:rFonts w:ascii="Arial" w:hAnsi="Arial" w:cs="Arial"/>
        </w:rPr>
        <w:t xml:space="preserve"> Es wird davon ausgegangen, dass die Qualität und Effektivität der Zusammenarbeit entscheidend von den handelnden Akteuren, der Gewährleistung von </w:t>
      </w:r>
      <w:proofErr w:type="spellStart"/>
      <w:r w:rsidR="00CE5257">
        <w:rPr>
          <w:rFonts w:ascii="Arial" w:hAnsi="Arial" w:cs="Arial"/>
        </w:rPr>
        <w:t>Wi</w:t>
      </w:r>
      <w:bookmarkStart w:id="0" w:name="_GoBack"/>
      <w:bookmarkEnd w:id="0"/>
      <w:r w:rsidR="00CE5257">
        <w:rPr>
          <w:rFonts w:ascii="Arial" w:hAnsi="Arial" w:cs="Arial"/>
        </w:rPr>
        <w:t>n</w:t>
      </w:r>
      <w:proofErr w:type="spellEnd"/>
      <w:r w:rsidR="00CE5257">
        <w:rPr>
          <w:rFonts w:ascii="Arial" w:hAnsi="Arial" w:cs="Arial"/>
        </w:rPr>
        <w:t>-</w:t>
      </w:r>
      <w:proofErr w:type="spellStart"/>
      <w:r w:rsidR="00CE5257">
        <w:rPr>
          <w:rFonts w:ascii="Arial" w:hAnsi="Arial" w:cs="Arial"/>
        </w:rPr>
        <w:t>Win</w:t>
      </w:r>
      <w:proofErr w:type="spellEnd"/>
      <w:r w:rsidR="00CE5257">
        <w:rPr>
          <w:rFonts w:ascii="Arial" w:hAnsi="Arial" w:cs="Arial"/>
        </w:rPr>
        <w:t>-Situationen und der Einhaltung der Vereinbarungen im Netzwerkmanagement bestimmt wird.</w:t>
      </w:r>
    </w:p>
    <w:p w:rsidR="008F3E28" w:rsidRDefault="008F3E28" w:rsidP="00BE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Dieser Beitrag ist ein Impuls und sollte Ausgangspunkt für weitere Wortmeldungen sein.</w:t>
      </w:r>
    </w:p>
    <w:p w:rsidR="008F3E28" w:rsidRDefault="008F3E28" w:rsidP="00BE6BA3">
      <w:pPr>
        <w:spacing w:line="360" w:lineRule="auto"/>
        <w:rPr>
          <w:rFonts w:ascii="Arial" w:hAnsi="Arial" w:cs="Arial"/>
        </w:rPr>
      </w:pPr>
    </w:p>
    <w:p w:rsidR="00BE6BA3" w:rsidRPr="00BE6BA3" w:rsidRDefault="008F3E28" w:rsidP="00BE6B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Prof. Dr. Günter Albrecht</w:t>
      </w:r>
    </w:p>
    <w:sectPr w:rsidR="00BE6BA3" w:rsidRPr="00BE6B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86C72"/>
    <w:multiLevelType w:val="hybridMultilevel"/>
    <w:tmpl w:val="242E3F70"/>
    <w:lvl w:ilvl="0" w:tplc="D00AD05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CC"/>
    <w:rsid w:val="00095BED"/>
    <w:rsid w:val="001132D3"/>
    <w:rsid w:val="002939A8"/>
    <w:rsid w:val="00355426"/>
    <w:rsid w:val="007E127E"/>
    <w:rsid w:val="008907CC"/>
    <w:rsid w:val="008F3E28"/>
    <w:rsid w:val="00BE6BA3"/>
    <w:rsid w:val="00C62AD3"/>
    <w:rsid w:val="00CE5257"/>
    <w:rsid w:val="00E21AED"/>
    <w:rsid w:val="00F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6536-6089-4C3A-91F4-EDDAE463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127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6B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b.de/de/208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halbrech</dc:creator>
  <cp:keywords/>
  <dc:description/>
  <cp:lastModifiedBy>halbrech</cp:lastModifiedBy>
  <cp:revision>8</cp:revision>
  <cp:lastPrinted>2015-08-18T15:13:00Z</cp:lastPrinted>
  <dcterms:created xsi:type="dcterms:W3CDTF">2015-08-18T14:24:00Z</dcterms:created>
  <dcterms:modified xsi:type="dcterms:W3CDTF">2015-08-19T09:58:00Z</dcterms:modified>
</cp:coreProperties>
</file>